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DE967" w14:textId="77777777" w:rsidR="00A643A6" w:rsidRPr="00467A5E" w:rsidRDefault="00DA0140" w:rsidP="00467A5E">
      <w:pPr>
        <w:spacing w:before="44" w:after="0" w:line="240" w:lineRule="auto"/>
        <w:ind w:right="893"/>
        <w:jc w:val="center"/>
        <w:rPr>
          <w:rFonts w:ascii="Cambria" w:eastAsia="Times New Roman" w:hAnsi="Cambria" w:cstheme="minorHAnsi"/>
          <w:b/>
          <w:bCs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b/>
          <w:bCs/>
          <w:sz w:val="24"/>
          <w:szCs w:val="24"/>
          <w:lang w:eastAsia="el-GR"/>
        </w:rPr>
        <w:t>Απόφαση</w:t>
      </w:r>
      <w:r w:rsidR="00A643A6" w:rsidRPr="00467A5E">
        <w:rPr>
          <w:rFonts w:ascii="Cambria" w:eastAsia="Times New Roman" w:hAnsi="Cambria" w:cstheme="minorHAnsi"/>
          <w:b/>
          <w:bCs/>
          <w:sz w:val="24"/>
          <w:szCs w:val="24"/>
          <w:lang w:eastAsia="el-GR"/>
        </w:rPr>
        <w:t xml:space="preserve"> της Συγκλήτου του Πανεπιστημίου Θεσσαλίας</w:t>
      </w:r>
    </w:p>
    <w:p w14:paraId="610FE1D1" w14:textId="77777777" w:rsidR="00A643A6" w:rsidRPr="00467A5E" w:rsidRDefault="00A643A6" w:rsidP="00467A5E">
      <w:pPr>
        <w:spacing w:before="44" w:after="0" w:line="240" w:lineRule="auto"/>
        <w:ind w:right="4029"/>
        <w:jc w:val="center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b/>
          <w:bCs/>
          <w:sz w:val="24"/>
          <w:szCs w:val="24"/>
          <w:lang w:eastAsia="el-GR"/>
        </w:rPr>
        <w:t xml:space="preserve">                                          </w:t>
      </w:r>
      <w:r w:rsidRPr="00467A5E">
        <w:rPr>
          <w:rFonts w:ascii="Cambria" w:eastAsia="Times New Roman" w:hAnsi="Cambria" w:cstheme="minorHAnsi"/>
          <w:bCs/>
          <w:sz w:val="24"/>
          <w:szCs w:val="24"/>
          <w:lang w:eastAsia="el-GR"/>
        </w:rPr>
        <w:t>(</w:t>
      </w:r>
      <w:proofErr w:type="spellStart"/>
      <w:r w:rsidRPr="00467A5E">
        <w:rPr>
          <w:rFonts w:ascii="Cambria" w:eastAsia="Times New Roman" w:hAnsi="Cambria" w:cstheme="minorHAnsi"/>
          <w:bCs/>
          <w:sz w:val="24"/>
          <w:szCs w:val="24"/>
          <w:lang w:eastAsia="el-GR"/>
        </w:rPr>
        <w:t>αρ</w:t>
      </w:r>
      <w:proofErr w:type="spellEnd"/>
      <w:r w:rsidRPr="00467A5E">
        <w:rPr>
          <w:rFonts w:ascii="Cambria" w:eastAsia="Times New Roman" w:hAnsi="Cambria" w:cstheme="minorHAnsi"/>
          <w:bCs/>
          <w:sz w:val="24"/>
          <w:szCs w:val="24"/>
          <w:lang w:eastAsia="el-GR"/>
        </w:rPr>
        <w:t xml:space="preserve">. συν. 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303/14-02-2024)</w:t>
      </w:r>
    </w:p>
    <w:p w14:paraId="3957011E" w14:textId="77777777" w:rsidR="00A643A6" w:rsidRPr="00467A5E" w:rsidRDefault="00A643A6" w:rsidP="00467A5E">
      <w:pPr>
        <w:spacing w:before="44" w:after="0" w:line="240" w:lineRule="auto"/>
        <w:ind w:right="4029"/>
        <w:jc w:val="center"/>
        <w:rPr>
          <w:rFonts w:ascii="Cambria" w:eastAsia="Times New Roman" w:hAnsi="Cambria" w:cstheme="minorHAnsi"/>
          <w:sz w:val="24"/>
          <w:szCs w:val="24"/>
          <w:lang w:eastAsia="el-GR"/>
        </w:rPr>
      </w:pPr>
    </w:p>
    <w:p w14:paraId="59D2AED8" w14:textId="0811BE7A" w:rsidR="00DA0140" w:rsidRPr="00467A5E" w:rsidRDefault="00DA0140" w:rsidP="00467A5E">
      <w:pPr>
        <w:spacing w:before="81" w:after="0" w:line="240" w:lineRule="auto"/>
        <w:ind w:right="112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H</w:t>
      </w:r>
      <w:r w:rsidRPr="00467A5E">
        <w:rPr>
          <w:rFonts w:ascii="Cambria" w:eastAsia="Times New Roman" w:hAnsi="Cambria" w:cstheme="minorHAnsi"/>
          <w:spacing w:val="1"/>
          <w:sz w:val="24"/>
          <w:szCs w:val="24"/>
          <w:lang w:eastAsia="el-GR"/>
        </w:rPr>
        <w:t xml:space="preserve"> 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Σύγκλητος</w:t>
      </w:r>
      <w:r w:rsidRPr="00467A5E">
        <w:rPr>
          <w:rFonts w:ascii="Cambria" w:eastAsia="Times New Roman" w:hAnsi="Cambria" w:cstheme="minorHAnsi"/>
          <w:spacing w:val="1"/>
          <w:sz w:val="24"/>
          <w:szCs w:val="24"/>
          <w:lang w:eastAsia="el-GR"/>
        </w:rPr>
        <w:t xml:space="preserve"> 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του</w:t>
      </w:r>
      <w:r w:rsidRPr="00467A5E">
        <w:rPr>
          <w:rFonts w:ascii="Cambria" w:eastAsia="Times New Roman" w:hAnsi="Cambria" w:cstheme="minorHAnsi"/>
          <w:spacing w:val="1"/>
          <w:sz w:val="24"/>
          <w:szCs w:val="24"/>
          <w:lang w:eastAsia="el-GR"/>
        </w:rPr>
        <w:t xml:space="preserve"> 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Πανεπιστημίου</w:t>
      </w:r>
      <w:r w:rsidRPr="00467A5E">
        <w:rPr>
          <w:rFonts w:ascii="Cambria" w:eastAsia="Times New Roman" w:hAnsi="Cambria" w:cstheme="minorHAnsi"/>
          <w:spacing w:val="1"/>
          <w:sz w:val="24"/>
          <w:szCs w:val="24"/>
          <w:lang w:eastAsia="el-GR"/>
        </w:rPr>
        <w:t xml:space="preserve"> 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Θεσσαλίας,</w:t>
      </w:r>
      <w:r w:rsidRPr="00467A5E">
        <w:rPr>
          <w:rFonts w:ascii="Cambria" w:eastAsia="Times New Roman" w:hAnsi="Cambria" w:cstheme="minorHAnsi"/>
          <w:spacing w:val="1"/>
          <w:sz w:val="24"/>
          <w:szCs w:val="24"/>
          <w:lang w:eastAsia="el-GR"/>
        </w:rPr>
        <w:t xml:space="preserve"> 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αφού</w:t>
      </w:r>
      <w:r w:rsidRPr="00467A5E">
        <w:rPr>
          <w:rFonts w:ascii="Cambria" w:eastAsia="Times New Roman" w:hAnsi="Cambria" w:cstheme="minorHAnsi"/>
          <w:spacing w:val="1"/>
          <w:sz w:val="24"/>
          <w:szCs w:val="24"/>
          <w:lang w:eastAsia="el-GR"/>
        </w:rPr>
        <w:t xml:space="preserve"> 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συζήτησε</w:t>
      </w:r>
      <w:r w:rsidRPr="00467A5E">
        <w:rPr>
          <w:rFonts w:ascii="Cambria" w:eastAsia="Times New Roman" w:hAnsi="Cambria" w:cstheme="minorHAnsi"/>
          <w:spacing w:val="1"/>
          <w:sz w:val="24"/>
          <w:szCs w:val="24"/>
          <w:lang w:eastAsia="el-GR"/>
        </w:rPr>
        <w:t xml:space="preserve"> 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το</w:t>
      </w:r>
      <w:r w:rsidRPr="00467A5E">
        <w:rPr>
          <w:rFonts w:ascii="Cambria" w:eastAsia="Times New Roman" w:hAnsi="Cambria" w:cstheme="minorHAnsi"/>
          <w:spacing w:val="1"/>
          <w:sz w:val="24"/>
          <w:szCs w:val="24"/>
          <w:lang w:eastAsia="el-GR"/>
        </w:rPr>
        <w:t xml:space="preserve"> 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περιεχόμενο</w:t>
      </w:r>
      <w:r w:rsidRPr="00467A5E">
        <w:rPr>
          <w:rFonts w:ascii="Cambria" w:eastAsia="Times New Roman" w:hAnsi="Cambria" w:cstheme="minorHAnsi"/>
          <w:spacing w:val="1"/>
          <w:sz w:val="24"/>
          <w:szCs w:val="24"/>
          <w:lang w:eastAsia="el-GR"/>
        </w:rPr>
        <w:t xml:space="preserve"> 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του</w:t>
      </w:r>
      <w:r w:rsidRPr="00467A5E">
        <w:rPr>
          <w:rFonts w:ascii="Cambria" w:eastAsia="Times New Roman" w:hAnsi="Cambria" w:cstheme="minorHAnsi"/>
          <w:spacing w:val="1"/>
          <w:sz w:val="24"/>
          <w:szCs w:val="24"/>
          <w:lang w:eastAsia="el-GR"/>
        </w:rPr>
        <w:t xml:space="preserve"> 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υπό</w:t>
      </w:r>
      <w:r w:rsidRPr="00467A5E">
        <w:rPr>
          <w:rFonts w:ascii="Cambria" w:eastAsia="Times New Roman" w:hAnsi="Cambria" w:cstheme="minorHAnsi"/>
          <w:spacing w:val="1"/>
          <w:sz w:val="24"/>
          <w:szCs w:val="24"/>
          <w:lang w:eastAsia="el-GR"/>
        </w:rPr>
        <w:t xml:space="preserve"> 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διαβούλευση νομοσχεδίου του Υπουργείου </w:t>
      </w:r>
      <w:r w:rsidR="00A643A6" w:rsidRPr="00467A5E">
        <w:rPr>
          <w:rFonts w:ascii="Cambria" w:eastAsia="Times New Roman" w:hAnsi="Cambria" w:cstheme="minorHAnsi"/>
          <w:sz w:val="24"/>
          <w:szCs w:val="24"/>
          <w:lang w:eastAsia="el-GR"/>
        </w:rPr>
        <w:t>Παιδείας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,</w:t>
      </w:r>
      <w:r w:rsidR="00A643A6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Θρησκευμάτων και Αθλητισμού με τίτλο «</w:t>
      </w:r>
      <w:r w:rsidRPr="00467A5E">
        <w:rPr>
          <w:rFonts w:ascii="Cambria" w:eastAsia="Times New Roman" w:hAnsi="Cambria" w:cstheme="minorHAnsi"/>
          <w:i/>
          <w:iCs/>
          <w:sz w:val="24"/>
          <w:szCs w:val="24"/>
          <w:lang w:eastAsia="el-GR"/>
        </w:rPr>
        <w:t>Ενίσχυση του Δημόσιου Πανεπιστημίου-Πλαίσιο Λειτουργίας μη κερδοσκοπικών παραρτημάτων ξένων πανεπιστημίων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» και λαμβάνοντας υπόψιν τις αποφάσεις των Συνελεύσεων των</w:t>
      </w:r>
      <w:r w:rsidRPr="00467A5E">
        <w:rPr>
          <w:rFonts w:ascii="Cambria" w:eastAsia="Times New Roman" w:hAnsi="Cambria" w:cstheme="minorHAnsi"/>
          <w:spacing w:val="1"/>
          <w:sz w:val="24"/>
          <w:szCs w:val="24"/>
          <w:lang w:eastAsia="el-GR"/>
        </w:rPr>
        <w:t xml:space="preserve"> 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Τμημάτων</w:t>
      </w:r>
      <w:r w:rsidRPr="00467A5E">
        <w:rPr>
          <w:rFonts w:ascii="Cambria" w:eastAsia="Times New Roman" w:hAnsi="Cambria" w:cstheme="minorHAnsi"/>
          <w:spacing w:val="-4"/>
          <w:sz w:val="24"/>
          <w:szCs w:val="24"/>
          <w:lang w:eastAsia="el-GR"/>
        </w:rPr>
        <w:t xml:space="preserve"> 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του</w:t>
      </w:r>
      <w:r w:rsidRPr="00467A5E">
        <w:rPr>
          <w:rFonts w:ascii="Cambria" w:eastAsia="Times New Roman" w:hAnsi="Cambria" w:cstheme="minorHAnsi"/>
          <w:spacing w:val="1"/>
          <w:sz w:val="24"/>
          <w:szCs w:val="24"/>
          <w:lang w:eastAsia="el-GR"/>
        </w:rPr>
        <w:t xml:space="preserve"> 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Ιδρύματος</w:t>
      </w:r>
      <w:r w:rsidR="007445E1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που απεστάλησαν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,</w:t>
      </w:r>
      <w:r w:rsidRPr="00467A5E">
        <w:rPr>
          <w:rFonts w:ascii="Cambria" w:eastAsia="Times New Roman" w:hAnsi="Cambria" w:cstheme="minorHAnsi"/>
          <w:spacing w:val="-2"/>
          <w:sz w:val="24"/>
          <w:szCs w:val="24"/>
          <w:lang w:eastAsia="el-GR"/>
        </w:rPr>
        <w:t xml:space="preserve"> 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αποφάσισε κατά</w:t>
      </w:r>
      <w:r w:rsidRPr="00467A5E">
        <w:rPr>
          <w:rFonts w:ascii="Cambria" w:eastAsia="Times New Roman" w:hAnsi="Cambria" w:cstheme="minorHAnsi"/>
          <w:spacing w:val="-4"/>
          <w:sz w:val="24"/>
          <w:szCs w:val="24"/>
          <w:lang w:eastAsia="el-GR"/>
        </w:rPr>
        <w:t xml:space="preserve"> 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πλειοψηφία ότι:</w:t>
      </w:r>
    </w:p>
    <w:p w14:paraId="028A713C" w14:textId="77777777" w:rsidR="00DA0140" w:rsidRPr="00467A5E" w:rsidRDefault="00DA0140" w:rsidP="00467A5E">
      <w:pPr>
        <w:spacing w:before="12" w:after="0" w:line="240" w:lineRule="auto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 </w:t>
      </w:r>
    </w:p>
    <w:p w14:paraId="1426B955" w14:textId="2BCFF9D0" w:rsidR="00DA0140" w:rsidRPr="00467A5E" w:rsidRDefault="00DA0140" w:rsidP="00467A5E">
      <w:pPr>
        <w:spacing w:after="0" w:line="240" w:lineRule="auto"/>
        <w:ind w:right="113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Το νομοσχέδιο</w:t>
      </w:r>
      <w:r w:rsidR="00A643A6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που κατατέθηκε στη</w:t>
      </w:r>
      <w:r w:rsidR="00DE72D4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δημόσια</w:t>
      </w:r>
      <w:r w:rsidR="00A643A6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</w:t>
      </w:r>
      <w:r w:rsidR="009D29A3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ηλεκτρονική </w:t>
      </w:r>
      <w:r w:rsidR="00A643A6" w:rsidRPr="00467A5E">
        <w:rPr>
          <w:rFonts w:ascii="Cambria" w:eastAsia="Times New Roman" w:hAnsi="Cambria" w:cstheme="minorHAnsi"/>
          <w:sz w:val="24"/>
          <w:szCs w:val="24"/>
          <w:lang w:eastAsia="el-GR"/>
        </w:rPr>
        <w:t>διαβούλευση</w:t>
      </w:r>
      <w:r w:rsidR="00EA0F3E" w:rsidRPr="00467A5E">
        <w:rPr>
          <w:rFonts w:ascii="Cambria" w:eastAsia="Times New Roman" w:hAnsi="Cambria" w:cstheme="minorHAnsi"/>
          <w:sz w:val="24"/>
          <w:szCs w:val="24"/>
          <w:lang w:eastAsia="el-GR"/>
        </w:rPr>
        <w:t>, όσον αφορά το</w:t>
      </w:r>
      <w:r w:rsidR="009D29A3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Μέρος Γ΄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, με τίτλο «Ενίσχυση Ανώ</w:t>
      </w:r>
      <w:r w:rsidR="009D29A3" w:rsidRPr="00467A5E">
        <w:rPr>
          <w:rFonts w:ascii="Cambria" w:eastAsia="Times New Roman" w:hAnsi="Cambria" w:cstheme="minorHAnsi"/>
          <w:sz w:val="24"/>
          <w:szCs w:val="24"/>
          <w:lang w:eastAsia="el-GR"/>
        </w:rPr>
        <w:t>τατων Εκπαιδευτικών Ιδρυμάτων»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, κι</w:t>
      </w:r>
      <w:r w:rsidR="009D29A3" w:rsidRPr="00467A5E">
        <w:rPr>
          <w:rFonts w:ascii="Cambria" w:eastAsia="Times New Roman" w:hAnsi="Cambria" w:cstheme="minorHAnsi"/>
          <w:sz w:val="24"/>
          <w:szCs w:val="24"/>
          <w:lang w:eastAsia="el-GR"/>
        </w:rPr>
        <w:t>νείται προς τη σωστή κατεύθυνση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,</w:t>
      </w:r>
      <w:r w:rsidR="009D29A3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καθώς διορθώνει αρκετές από τις αστοχίες του Ν.4957/2022, ωσ</w:t>
      </w:r>
      <w:r w:rsidR="00FB7F02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τόσο χρειάζεται να γίνουν 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περισσότερες βελτιώσεις που θα τείνουν προς την περαιτέρω ενίσχυση του δημόσιου Πανεπιστημίου  τ</w:t>
      </w:r>
      <w:r w:rsidR="009D29A3" w:rsidRPr="00467A5E">
        <w:rPr>
          <w:rFonts w:ascii="Cambria" w:eastAsia="Times New Roman" w:hAnsi="Cambria" w:cstheme="minorHAnsi"/>
          <w:sz w:val="24"/>
          <w:szCs w:val="24"/>
          <w:lang w:eastAsia="el-GR"/>
        </w:rPr>
        <w:t>όσο σε προβλεπόμενα κονδύλια στο πλαίσιο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του αυτοδιοίκητου όσο και σε ανθρώπινο δυναμικό (διδακτικό-διοικητικό προσωπικό), ερευνητικό εξοπλισμό</w:t>
      </w:r>
      <w:r w:rsidR="001A1C05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και 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κτηριακές υποδομές.</w:t>
      </w:r>
    </w:p>
    <w:p w14:paraId="2CA09DA4" w14:textId="77777777" w:rsidR="00DA0140" w:rsidRPr="00467A5E" w:rsidRDefault="00DA0140" w:rsidP="00467A5E">
      <w:pPr>
        <w:spacing w:after="0" w:line="240" w:lineRule="auto"/>
        <w:ind w:right="113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 </w:t>
      </w:r>
    </w:p>
    <w:p w14:paraId="28CC6A0E" w14:textId="77777777" w:rsidR="00DA0140" w:rsidRPr="00467A5E" w:rsidRDefault="00DA0140" w:rsidP="00467A5E">
      <w:pPr>
        <w:spacing w:after="0" w:line="240" w:lineRule="auto"/>
        <w:ind w:right="113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Προτεινόμενες βελτιώσεις ακολουθούν στο τέλος του κειμένου. </w:t>
      </w:r>
    </w:p>
    <w:p w14:paraId="450D6DE2" w14:textId="77777777" w:rsidR="00DA0140" w:rsidRPr="00467A5E" w:rsidRDefault="00DA0140" w:rsidP="00467A5E">
      <w:pPr>
        <w:spacing w:after="0" w:line="240" w:lineRule="auto"/>
        <w:ind w:right="113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 </w:t>
      </w:r>
    </w:p>
    <w:p w14:paraId="2F3D45ED" w14:textId="77777777" w:rsidR="00DA0140" w:rsidRPr="00467A5E" w:rsidRDefault="00DA0140" w:rsidP="00467A5E">
      <w:pPr>
        <w:spacing w:after="0" w:line="240" w:lineRule="auto"/>
        <w:ind w:right="113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Όσον αφορά το </w:t>
      </w:r>
      <w:r w:rsidR="008323A8" w:rsidRPr="00467A5E">
        <w:rPr>
          <w:rFonts w:ascii="Cambria" w:eastAsia="Times New Roman" w:hAnsi="Cambria" w:cstheme="minorHAnsi"/>
          <w:sz w:val="24"/>
          <w:szCs w:val="24"/>
          <w:lang w:eastAsia="el-GR"/>
        </w:rPr>
        <w:t>Μέρος Δ’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, με τίτλο «Εγκατάσταση και Λειτουργία Νομικών Προσώπ</w:t>
      </w:r>
      <w:r w:rsidR="008323A8" w:rsidRPr="00467A5E">
        <w:rPr>
          <w:rFonts w:ascii="Cambria" w:eastAsia="Times New Roman" w:hAnsi="Cambria" w:cstheme="minorHAnsi"/>
          <w:sz w:val="24"/>
          <w:szCs w:val="24"/>
          <w:lang w:eastAsia="el-GR"/>
        </w:rPr>
        <w:t>ων Πανεπιστημιακής Εκπαίδευσης»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, προτείνεται η αναστολή της θέσης προς ψήφιση του συγκεκριμένου τμήματος του νομοσχεδίου στην παρούσα, αφενός γιατί δεν προηγήθηκε διαβούλευση με την ακαδημαϊ</w:t>
      </w:r>
      <w:r w:rsidR="005D4A06" w:rsidRPr="00467A5E">
        <w:rPr>
          <w:rFonts w:ascii="Cambria" w:eastAsia="Times New Roman" w:hAnsi="Cambria" w:cstheme="minorHAnsi"/>
          <w:sz w:val="24"/>
          <w:szCs w:val="24"/>
          <w:lang w:eastAsia="el-GR"/>
        </w:rPr>
        <w:t>κή κοινότητα και αφετέρου γιατί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το θεσμικό πλαίσιο λειτουργίας αυτών των Νομικών Προ</w:t>
      </w:r>
      <w:r w:rsidR="005D4A06" w:rsidRPr="00467A5E">
        <w:rPr>
          <w:rFonts w:ascii="Cambria" w:eastAsia="Times New Roman" w:hAnsi="Cambria" w:cstheme="minorHAnsi"/>
          <w:sz w:val="24"/>
          <w:szCs w:val="24"/>
          <w:lang w:eastAsia="el-GR"/>
        </w:rPr>
        <w:t>σώπων  δεν είναι αποσαφηνισμένο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, με αποτέλεσμα να δημιουργούνται παρερμηνείες. Επιπροσθέτως, εκφράστηκαν ανησυχίες για την πιθανή συρρίκνωση των περιφερε</w:t>
      </w:r>
      <w:r w:rsidR="005D4A06" w:rsidRPr="00467A5E">
        <w:rPr>
          <w:rFonts w:ascii="Cambria" w:eastAsia="Times New Roman" w:hAnsi="Cambria" w:cstheme="minorHAnsi"/>
          <w:sz w:val="24"/>
          <w:szCs w:val="24"/>
          <w:lang w:eastAsia="el-GR"/>
        </w:rPr>
        <w:t>ιακών Πανεπιστημιακών Ιδρυμάτων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,</w:t>
      </w:r>
      <w:r w:rsidR="005D4A06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άμα τη εφαρμογή του, με όποιο αντίκτυπο έχει αυτό και στην τοπική ανάπτυξη.   </w:t>
      </w:r>
    </w:p>
    <w:p w14:paraId="5CB0723B" w14:textId="77777777" w:rsidR="00DA0140" w:rsidRPr="00467A5E" w:rsidRDefault="00DA0140" w:rsidP="00467A5E">
      <w:pPr>
        <w:spacing w:after="0" w:line="240" w:lineRule="auto"/>
        <w:ind w:right="113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 </w:t>
      </w:r>
    </w:p>
    <w:p w14:paraId="781B392A" w14:textId="07E40EAE" w:rsidR="00DA0140" w:rsidRPr="00467A5E" w:rsidRDefault="003D62CC" w:rsidP="00467A5E">
      <w:pPr>
        <w:spacing w:after="0" w:line="240" w:lineRule="auto"/>
        <w:ind w:right="113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>
        <w:rPr>
          <w:rFonts w:ascii="Cambria" w:eastAsia="Times New Roman" w:hAnsi="Cambria" w:cstheme="minorHAnsi"/>
          <w:sz w:val="24"/>
          <w:szCs w:val="24"/>
          <w:lang w:eastAsia="el-GR"/>
        </w:rPr>
        <w:t>Επίσης, α</w:t>
      </w:r>
      <w:r w:rsidR="00DA0140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πό μέλη της Συγκλήτου </w:t>
      </w:r>
      <w:r w:rsidR="00EB5618" w:rsidRPr="00467A5E">
        <w:rPr>
          <w:rFonts w:ascii="Cambria" w:eastAsia="Times New Roman" w:hAnsi="Cambria" w:cstheme="minorHAnsi"/>
          <w:sz w:val="24"/>
          <w:szCs w:val="24"/>
          <w:lang w:eastAsia="el-GR"/>
        </w:rPr>
        <w:t>τονίστηκε</w:t>
      </w:r>
      <w:bookmarkStart w:id="0" w:name="_GoBack"/>
      <w:bookmarkEnd w:id="0"/>
      <w:r w:rsidR="0000462A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ότι</w:t>
      </w:r>
      <w:r w:rsidR="00EB5618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</w:t>
      </w:r>
      <w:r w:rsidR="0000462A" w:rsidRPr="00467A5E">
        <w:rPr>
          <w:rFonts w:ascii="Cambria" w:eastAsia="Times New Roman" w:hAnsi="Cambria" w:cstheme="minorHAnsi"/>
          <w:sz w:val="24"/>
          <w:szCs w:val="24"/>
          <w:lang w:eastAsia="el-GR"/>
        </w:rPr>
        <w:t>α) οι</w:t>
      </w:r>
      <w:r w:rsidR="00235C5F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αισθητά</w:t>
      </w:r>
      <w:r w:rsidR="0000462A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διαφοροποιημένες προϋποθέσεις εισαγωγής των φοιτητών από τη μια</w:t>
      </w:r>
      <w:r w:rsidR="008866FD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στα</w:t>
      </w:r>
      <w:r w:rsidR="0000462A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κρατικά ιδρύματα και από την άλλη στα προβλεπόμενα «ειδικά νομικά πρόσωπα πανεπιστημιακής εκπαίδευσης</w:t>
      </w:r>
      <w:r w:rsidR="00235C5F" w:rsidRPr="00467A5E">
        <w:rPr>
          <w:rFonts w:ascii="Cambria" w:eastAsia="Times New Roman" w:hAnsi="Cambria" w:cstheme="minorHAnsi"/>
          <w:sz w:val="24"/>
          <w:szCs w:val="24"/>
          <w:lang w:eastAsia="el-GR"/>
        </w:rPr>
        <w:t>» θέτουν θέματα ανισότιμης, με οικονομικούς όρους, μεταχείρισης μεταξύ των υποψηφίων φοιτητών  και β) συνολικότερα</w:t>
      </w:r>
      <w:r w:rsidR="0000462A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</w:t>
      </w:r>
      <w:r w:rsidR="00EB5618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</w:t>
      </w:r>
      <w:r w:rsidR="00D53AEF" w:rsidRPr="00467A5E">
        <w:rPr>
          <w:rFonts w:ascii="Cambria" w:eastAsia="Times New Roman" w:hAnsi="Cambria" w:cstheme="minorHAnsi"/>
          <w:sz w:val="24"/>
          <w:szCs w:val="24"/>
          <w:lang w:eastAsia="el-GR"/>
        </w:rPr>
        <w:t>οι διατάξεις</w:t>
      </w:r>
      <w:r w:rsidR="00EB5618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που περιέχει το </w:t>
      </w:r>
      <w:r w:rsidR="00D53AEF" w:rsidRPr="00467A5E">
        <w:rPr>
          <w:rFonts w:ascii="Cambria" w:eastAsia="Times New Roman" w:hAnsi="Cambria" w:cstheme="minorHAnsi"/>
          <w:sz w:val="24"/>
          <w:szCs w:val="24"/>
          <w:lang w:eastAsia="el-GR"/>
        </w:rPr>
        <w:t>Μέρος Δ’ του νομοσχεδίου</w:t>
      </w:r>
      <w:r w:rsidR="0000462A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</w:t>
      </w:r>
      <w:r w:rsidR="00235C5F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εγείρουν </w:t>
      </w:r>
      <w:r w:rsidR="0000462A" w:rsidRPr="00467A5E">
        <w:rPr>
          <w:rFonts w:ascii="Cambria" w:eastAsia="Times New Roman" w:hAnsi="Cambria" w:cstheme="minorHAnsi"/>
          <w:sz w:val="24"/>
          <w:szCs w:val="24"/>
          <w:lang w:eastAsia="el-GR"/>
        </w:rPr>
        <w:t>εύλογα</w:t>
      </w:r>
      <w:r w:rsidR="00D53AEF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ζητήματα συνταγματικότητας</w:t>
      </w:r>
      <w:r w:rsidR="00EB5618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από τη στιγμή που δεν έχει προηγηθεί</w:t>
      </w:r>
      <w:r w:rsidR="00235C5F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η</w:t>
      </w:r>
      <w:r w:rsidR="00EB5618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αναθεώρηση τ</w:t>
      </w:r>
      <w:r w:rsidR="001C571F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ων ρυθμίσεων του </w:t>
      </w:r>
      <w:r w:rsidR="00EB5618" w:rsidRPr="00467A5E">
        <w:rPr>
          <w:rFonts w:ascii="Cambria" w:eastAsia="Times New Roman" w:hAnsi="Cambria" w:cstheme="minorHAnsi"/>
          <w:sz w:val="24"/>
          <w:szCs w:val="24"/>
          <w:lang w:eastAsia="el-GR"/>
        </w:rPr>
        <w:t>άρθρο</w:t>
      </w:r>
      <w:r w:rsidR="001C571F" w:rsidRPr="00467A5E">
        <w:rPr>
          <w:rFonts w:ascii="Cambria" w:eastAsia="Times New Roman" w:hAnsi="Cambria" w:cstheme="minorHAnsi"/>
          <w:sz w:val="24"/>
          <w:szCs w:val="24"/>
          <w:lang w:eastAsia="el-GR"/>
        </w:rPr>
        <w:t>υ</w:t>
      </w:r>
      <w:r w:rsidR="00EB5618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16 του Συντάγματος</w:t>
      </w:r>
      <w:r w:rsidR="00D53AEF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, </w:t>
      </w:r>
      <w:r w:rsidR="0000462A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οι οποίες </w:t>
      </w:r>
      <w:r w:rsidR="001C571F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ορίζουν ότι η ανώτατη εκπαίδευση παρέχεται </w:t>
      </w:r>
      <w:r w:rsidR="0000462A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αποκλειστικά </w:t>
      </w:r>
      <w:r w:rsidR="001C571F" w:rsidRPr="00467A5E">
        <w:rPr>
          <w:rFonts w:ascii="Cambria" w:eastAsia="Times New Roman" w:hAnsi="Cambria" w:cstheme="minorHAnsi"/>
          <w:sz w:val="24"/>
          <w:szCs w:val="24"/>
          <w:lang w:eastAsia="el-GR"/>
        </w:rPr>
        <w:t>από ιδρύματα που αποτελούν νομικά πρόσωπα δημοσίου δικαίου πλήρως αυτοδιοι</w:t>
      </w:r>
      <w:r w:rsidR="00235C5F" w:rsidRPr="00467A5E">
        <w:rPr>
          <w:rFonts w:ascii="Cambria" w:eastAsia="Times New Roman" w:hAnsi="Cambria" w:cstheme="minorHAnsi"/>
          <w:sz w:val="24"/>
          <w:szCs w:val="24"/>
          <w:lang w:eastAsia="el-GR"/>
        </w:rPr>
        <w:softHyphen/>
      </w:r>
      <w:r w:rsidR="001C571F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κούμενα. </w:t>
      </w:r>
    </w:p>
    <w:p w14:paraId="476D0A80" w14:textId="77777777" w:rsidR="00DA0140" w:rsidRPr="00467A5E" w:rsidRDefault="00DA0140" w:rsidP="00467A5E">
      <w:pPr>
        <w:spacing w:after="0" w:line="240" w:lineRule="auto"/>
        <w:ind w:right="113"/>
        <w:jc w:val="both"/>
        <w:rPr>
          <w:rFonts w:ascii="Cambria" w:eastAsia="Times New Roman" w:hAnsi="Cambria" w:cstheme="minorHAnsi"/>
          <w:color w:val="FF0000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color w:val="FF0000"/>
          <w:sz w:val="24"/>
          <w:szCs w:val="24"/>
          <w:lang w:eastAsia="el-GR"/>
        </w:rPr>
        <w:t> </w:t>
      </w:r>
    </w:p>
    <w:p w14:paraId="3D38AF49" w14:textId="77777777" w:rsidR="00DA0140" w:rsidRPr="00467A5E" w:rsidRDefault="00DA0140" w:rsidP="00467A5E">
      <w:pPr>
        <w:spacing w:after="0" w:line="240" w:lineRule="auto"/>
        <w:ind w:right="113"/>
        <w:jc w:val="both"/>
        <w:rPr>
          <w:rFonts w:ascii="Cambria" w:eastAsia="Times New Roman" w:hAnsi="Cambria" w:cstheme="minorHAnsi"/>
          <w:b/>
          <w:bCs/>
          <w:sz w:val="24"/>
          <w:szCs w:val="24"/>
          <w:u w:val="single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 </w:t>
      </w:r>
      <w:r w:rsidRPr="00467A5E">
        <w:rPr>
          <w:rFonts w:ascii="Cambria" w:eastAsia="Times New Roman" w:hAnsi="Cambria" w:cstheme="minorHAnsi"/>
          <w:b/>
          <w:bCs/>
          <w:sz w:val="24"/>
          <w:szCs w:val="24"/>
          <w:u w:val="single"/>
          <w:lang w:eastAsia="el-GR"/>
        </w:rPr>
        <w:t>Προτάσεις της Συγκλήτου προς αναμόρφωση των προς ψήφιση διατάξεων, πέραν των ανωτέρω:</w:t>
      </w:r>
    </w:p>
    <w:p w14:paraId="42A954BE" w14:textId="77777777" w:rsidR="00121DB7" w:rsidRPr="00467A5E" w:rsidRDefault="00121DB7" w:rsidP="00467A5E">
      <w:pPr>
        <w:spacing w:after="0" w:line="240" w:lineRule="auto"/>
        <w:ind w:right="113"/>
        <w:jc w:val="both"/>
        <w:rPr>
          <w:rFonts w:ascii="Cambria" w:eastAsia="Times New Roman" w:hAnsi="Cambria" w:cstheme="minorHAnsi"/>
          <w:b/>
          <w:bCs/>
          <w:sz w:val="24"/>
          <w:szCs w:val="24"/>
          <w:u w:val="single"/>
          <w:lang w:eastAsia="el-GR"/>
        </w:rPr>
      </w:pPr>
    </w:p>
    <w:p w14:paraId="1345EAD7" w14:textId="77777777" w:rsidR="00A726FB" w:rsidRPr="00467A5E" w:rsidRDefault="00A726FB" w:rsidP="00467A5E">
      <w:pPr>
        <w:spacing w:after="120" w:line="240" w:lineRule="auto"/>
        <w:ind w:right="43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Άρθρο 43: Να μην υποβάλλονται για έγκριση στο υπουργείο Παιδείας, Θρησκευμάτων και Αθλητισμού οι αναμορφώσεις του εγκεκριμένου αναλυτικού προϋπολογισμού του ΑΕΙ εφόσον δεν επιφέρουν επιδείνωση του αρχικά εγκεκριμένου δημοσιονομικού αποτελέσματος</w:t>
      </w:r>
    </w:p>
    <w:p w14:paraId="534F306C" w14:textId="77777777" w:rsidR="00A726FB" w:rsidRPr="00467A5E" w:rsidRDefault="00A726FB" w:rsidP="00467A5E">
      <w:pPr>
        <w:spacing w:after="120" w:line="240" w:lineRule="auto"/>
        <w:ind w:right="43"/>
        <w:jc w:val="both"/>
        <w:rPr>
          <w:rFonts w:ascii="Cambria" w:eastAsia="Times New Roman" w:hAnsi="Cambria" w:cstheme="minorHAnsi"/>
          <w:color w:val="FF0000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lastRenderedPageBreak/>
        <w:t>Άρθρο 49: Να αποσυρθεί το εδάφιο που λέει ότι μπορεί να θέσει υποψηφιότητα για πρόεδρος και αντιπρόεδρος Τμήματος Καθηγητής ή αναπληρωτής Καθηγητής από συναφές τμήμα και να μην αυξηθεί η θητεία τους σε τρία έτη.</w:t>
      </w:r>
    </w:p>
    <w:p w14:paraId="0DF69F31" w14:textId="77777777" w:rsidR="00A726FB" w:rsidRPr="00467A5E" w:rsidRDefault="00A726FB" w:rsidP="00467A5E">
      <w:pPr>
        <w:spacing w:after="120" w:line="240" w:lineRule="auto"/>
        <w:ind w:right="43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Άρθρο 58: Να απαλειφθεί η διάταξη για δίδακτρα για τους αλλοδαπούς φοιτητές.</w:t>
      </w:r>
    </w:p>
    <w:p w14:paraId="003EB925" w14:textId="77777777" w:rsidR="00A726FB" w:rsidRPr="00467A5E" w:rsidRDefault="00A726FB" w:rsidP="00467A5E">
      <w:pPr>
        <w:spacing w:after="120" w:line="240" w:lineRule="auto"/>
        <w:ind w:right="43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Άρθρο 68: ΚΕΔΙΒΙΜ- Να υπάρχουν εισηγήσεις/προτάσεις είτε του Συμβουλίου Διοίκησης είτε της Συγκλήτου σε θέματα του Σ.Δ. του ΚΕΔΙΒΙΜ. Να μη διαγραφεί </w:t>
      </w:r>
      <w:r w:rsidRPr="00467A5E">
        <w:rPr>
          <w:rFonts w:ascii="Cambria" w:hAnsi="Cambria" w:cstheme="minorHAnsi"/>
          <w:sz w:val="24"/>
          <w:szCs w:val="24"/>
        </w:rPr>
        <w:t>η φράση «υπό την προϋπόθεση ότι το γνωστικό του αντικείμενο ή το εν γένει επιστημονικό ή ερευνητικό του έργο ή η επιστήμη που θεραπεύει σχετίζεται με τον ευρύτερο επιστημονικό κλάδο του προς έγκριση προγράμματος»</w:t>
      </w:r>
    </w:p>
    <w:p w14:paraId="272BB86F" w14:textId="53ED46A8" w:rsidR="00A726FB" w:rsidRPr="00467A5E" w:rsidRDefault="00A726FB" w:rsidP="00467A5E">
      <w:pPr>
        <w:spacing w:after="120" w:line="240" w:lineRule="auto"/>
        <w:ind w:right="43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Άρθρο 76: Να μην έχει το Συμβούλιο Διοίκησης του ΑΕΙ τον έλεγχο νομιμότητας για ακαδημαϊκές διαδικασίες</w:t>
      </w:r>
    </w:p>
    <w:p w14:paraId="57230533" w14:textId="77777777" w:rsidR="00A726FB" w:rsidRPr="00467A5E" w:rsidRDefault="00A726FB" w:rsidP="00467A5E">
      <w:pPr>
        <w:spacing w:after="120" w:line="240" w:lineRule="auto"/>
        <w:ind w:right="43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Άρθρα 90 και 91: Να μην αυξηθεί το ποσοστό της τακτικής επιχορήγησης που κατανέμεται με βάση τους δείκτες ποιότητας από 20% σε 30%.</w:t>
      </w:r>
    </w:p>
    <w:p w14:paraId="51725134" w14:textId="1F01E7F1" w:rsidR="00CD1C52" w:rsidRPr="00467A5E" w:rsidRDefault="00CD1C52" w:rsidP="00467A5E">
      <w:pPr>
        <w:spacing w:after="120" w:line="240" w:lineRule="auto"/>
        <w:ind w:right="43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Άρθρο 92: </w:t>
      </w:r>
      <w:r w:rsidR="00121DB7" w:rsidRPr="00467A5E">
        <w:rPr>
          <w:rFonts w:ascii="Cambria" w:eastAsia="Times New Roman" w:hAnsi="Cambria" w:cstheme="minorHAnsi"/>
          <w:sz w:val="24"/>
          <w:szCs w:val="24"/>
          <w:lang w:eastAsia="el-GR"/>
        </w:rPr>
        <w:t>Τα μέλη της Επιτροπής Ερευνών να εκλέγονται από τα μέλη της κάθε Σχολής και όχι από όλα τα μέλη του Πανεπιστημίου</w:t>
      </w:r>
      <w:r w:rsidR="008A120F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. </w:t>
      </w:r>
    </w:p>
    <w:p w14:paraId="266A2A04" w14:textId="1FAA107B" w:rsidR="00872270" w:rsidRPr="00467A5E" w:rsidRDefault="00CD1C52" w:rsidP="00467A5E">
      <w:pPr>
        <w:spacing w:after="120" w:line="240" w:lineRule="auto"/>
        <w:ind w:right="43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Άρθρο 93: </w:t>
      </w:r>
      <w:r w:rsidR="008A120F" w:rsidRPr="00467A5E">
        <w:rPr>
          <w:rFonts w:ascii="Cambria" w:eastAsia="Times New Roman" w:hAnsi="Cambria" w:cstheme="minorHAnsi"/>
          <w:sz w:val="24"/>
          <w:szCs w:val="24"/>
          <w:lang w:eastAsia="el-GR"/>
        </w:rPr>
        <w:t>Η Επιτροπή Ερευνών να μην αποφασίζει για προγραμματικές συμφωνίες απουσία εισηγήσεων είτε Συμβουλίου Διοίκησης είτε Συγκλήτου</w:t>
      </w:r>
    </w:p>
    <w:p w14:paraId="454CABB1" w14:textId="0935F18B" w:rsidR="008A120F" w:rsidRPr="00467A5E" w:rsidRDefault="00CD1C52" w:rsidP="00467A5E">
      <w:pPr>
        <w:spacing w:after="120" w:line="240" w:lineRule="auto"/>
        <w:ind w:right="43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Άρθρο 97: </w:t>
      </w:r>
      <w:r w:rsidR="00872270" w:rsidRPr="00467A5E">
        <w:rPr>
          <w:rFonts w:ascii="Cambria" w:eastAsia="Times New Roman" w:hAnsi="Cambria" w:cstheme="minorHAnsi"/>
          <w:sz w:val="24"/>
          <w:szCs w:val="24"/>
          <w:lang w:eastAsia="el-GR"/>
        </w:rPr>
        <w:t>Ο προγραμματισμός προσλήψεων μελών ΔΕΠ για κάθε αποχώρηση μέλους ΔΕΠ να επεκταθεί κ</w:t>
      </w:r>
      <w:r w:rsidR="007445E1" w:rsidRPr="00467A5E">
        <w:rPr>
          <w:rFonts w:ascii="Cambria" w:eastAsia="Times New Roman" w:hAnsi="Cambria" w:cstheme="minorHAnsi"/>
          <w:sz w:val="24"/>
          <w:szCs w:val="24"/>
          <w:lang w:eastAsia="el-GR"/>
        </w:rPr>
        <w:t>αι πέραν της πενταετίας 2025-20</w:t>
      </w:r>
      <w:r w:rsidR="00872270" w:rsidRPr="00467A5E">
        <w:rPr>
          <w:rFonts w:ascii="Cambria" w:eastAsia="Times New Roman" w:hAnsi="Cambria" w:cstheme="minorHAnsi"/>
          <w:sz w:val="24"/>
          <w:szCs w:val="24"/>
          <w:lang w:eastAsia="el-GR"/>
        </w:rPr>
        <w:t>30</w:t>
      </w:r>
      <w:r w:rsidR="001C4D4B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και να προβλέπει μεγαλύτερο αριθμό πρόσληψης μελών ΔΕΠ</w:t>
      </w:r>
      <w:r w:rsidR="00EA0F3E" w:rsidRPr="00467A5E">
        <w:rPr>
          <w:rFonts w:ascii="Cambria" w:eastAsia="Times New Roman" w:hAnsi="Cambria" w:cstheme="minorHAnsi"/>
          <w:sz w:val="24"/>
          <w:szCs w:val="24"/>
          <w:lang w:eastAsia="el-GR"/>
        </w:rPr>
        <w:t>.</w:t>
      </w:r>
    </w:p>
    <w:p w14:paraId="3A267C9B" w14:textId="77777777" w:rsidR="00A726FB" w:rsidRPr="00467A5E" w:rsidRDefault="00A726FB" w:rsidP="00467A5E">
      <w:pPr>
        <w:ind w:right="43"/>
        <w:jc w:val="both"/>
        <w:rPr>
          <w:rFonts w:ascii="Cambria" w:hAnsi="Cambria" w:cstheme="minorHAnsi"/>
          <w:sz w:val="24"/>
          <w:szCs w:val="24"/>
        </w:rPr>
      </w:pPr>
      <w:r w:rsidRPr="00467A5E">
        <w:rPr>
          <w:rFonts w:ascii="Cambria" w:hAnsi="Cambria" w:cstheme="minorHAnsi"/>
          <w:sz w:val="24"/>
          <w:szCs w:val="24"/>
        </w:rPr>
        <w:t xml:space="preserve">Άρθρο 107: Βιομηχανικά διδακτορικά- </w:t>
      </w:r>
      <w:r w:rsidRPr="00467A5E">
        <w:rPr>
          <w:rFonts w:ascii="Cambria" w:hAnsi="Cambria" w:cstheme="minorHAnsi"/>
          <w:bCs/>
          <w:sz w:val="24"/>
          <w:szCs w:val="24"/>
        </w:rPr>
        <w:t xml:space="preserve">Η συμμετοχή εκπροσώπου της σχετικής βιομηχανίας, έστω χωρίς ψήφο, εν </w:t>
      </w:r>
      <w:proofErr w:type="spellStart"/>
      <w:r w:rsidRPr="00467A5E">
        <w:rPr>
          <w:rFonts w:ascii="Cambria" w:hAnsi="Cambria" w:cstheme="minorHAnsi"/>
          <w:bCs/>
          <w:sz w:val="24"/>
          <w:szCs w:val="24"/>
        </w:rPr>
        <w:t>είδει</w:t>
      </w:r>
      <w:proofErr w:type="spellEnd"/>
      <w:r w:rsidRPr="00467A5E">
        <w:rPr>
          <w:rFonts w:ascii="Cambria" w:hAnsi="Cambria" w:cstheme="minorHAnsi"/>
          <w:bCs/>
          <w:sz w:val="24"/>
          <w:szCs w:val="24"/>
        </w:rPr>
        <w:t xml:space="preserve"> παρακολούθησης της πανεπιστημιακή διαδικασίας αναφορικά με τα «βιομηχανικά διδακτορικά» υπονομεύει την ακαδημαϊκή ελευθερία.</w:t>
      </w:r>
      <w:r w:rsidRPr="00467A5E">
        <w:rPr>
          <w:rFonts w:ascii="Cambria" w:hAnsi="Cambria" w:cstheme="minorHAnsi"/>
          <w:sz w:val="24"/>
          <w:szCs w:val="24"/>
        </w:rPr>
        <w:br/>
      </w:r>
      <w:r w:rsidRPr="00467A5E">
        <w:rPr>
          <w:rFonts w:ascii="Cambria" w:hAnsi="Cambria" w:cstheme="minorHAnsi"/>
          <w:bCs/>
          <w:sz w:val="24"/>
          <w:szCs w:val="24"/>
        </w:rPr>
        <w:t>Να γίνει σαφές και ρητό ότι τα βιομηχανικά διδακτορικά θα δημοσιεύονται και δεν θα κρατάει την έρευνα ο ιδιώτης που έχει δωρίσει τη χρηματοδότηση προς ίδιον όφελος.</w:t>
      </w:r>
    </w:p>
    <w:p w14:paraId="5DD6BEFB" w14:textId="4554D98F" w:rsidR="008A120F" w:rsidRPr="00467A5E" w:rsidRDefault="00CD1C52" w:rsidP="00467A5E">
      <w:pPr>
        <w:spacing w:after="120" w:line="240" w:lineRule="auto"/>
        <w:ind w:right="43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Άρθρο 108:</w:t>
      </w:r>
      <w:r w:rsidR="00DA0140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Να γίνει νομοθετική ρύθμιση για επανεκκίνηση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της διαδικασίας εκλογής των μελών του Συμβουλίου Διοίκησης σε όσα ΠΑΚΕΚ έχουν λήξει οι θητείες τους. </w:t>
      </w:r>
    </w:p>
    <w:p w14:paraId="73DCE1A0" w14:textId="71870AB7" w:rsidR="00EA0F3E" w:rsidRPr="00467A5E" w:rsidRDefault="001A1C05" w:rsidP="00467A5E">
      <w:pPr>
        <w:spacing w:after="120" w:line="240" w:lineRule="auto"/>
        <w:ind w:right="43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Άρθρο 116: </w:t>
      </w:r>
      <w:r w:rsidR="008A120F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Απογραφή κινητής και ακίνητης περιουσίας των Ιδρυμάτων σε μεγαλύτερο χρονικό διάστημα και περαιτέρω διευκρινίσεις/ρυθμίσεις για πεπαλαιωμένο εξοπλισμό και </w:t>
      </w:r>
      <w:r w:rsidR="00463FF4" w:rsidRPr="00467A5E">
        <w:rPr>
          <w:rFonts w:ascii="Cambria" w:eastAsia="Times New Roman" w:hAnsi="Cambria" w:cstheme="minorHAnsi"/>
          <w:sz w:val="24"/>
          <w:szCs w:val="24"/>
          <w:lang w:eastAsia="el-GR"/>
        </w:rPr>
        <w:t>εξοπλισμό που έχει αγοραστεί μέσω προγραμμάτων της Επιτροπής Ερευνών.</w:t>
      </w:r>
    </w:p>
    <w:p w14:paraId="1CCCD3E2" w14:textId="77777777" w:rsidR="005536DD" w:rsidRPr="00467A5E" w:rsidRDefault="005536DD" w:rsidP="00467A5E">
      <w:pPr>
        <w:pStyle w:val="a3"/>
        <w:ind w:left="0" w:right="43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</w:p>
    <w:p w14:paraId="2ABB62EF" w14:textId="5E24AE03" w:rsidR="00DA0140" w:rsidRPr="00467A5E" w:rsidRDefault="00DA0140" w:rsidP="00467A5E">
      <w:pPr>
        <w:spacing w:after="0" w:line="240" w:lineRule="auto"/>
        <w:ind w:right="101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 </w:t>
      </w:r>
      <w:r w:rsidR="001A1C05" w:rsidRPr="00467A5E">
        <w:rPr>
          <w:rFonts w:ascii="Cambria" w:eastAsia="Times New Roman" w:hAnsi="Cambria" w:cstheme="minorHAnsi"/>
          <w:sz w:val="24"/>
          <w:szCs w:val="24"/>
          <w:lang w:eastAsia="el-GR"/>
        </w:rPr>
        <w:t>Επιπλέον:</w:t>
      </w:r>
    </w:p>
    <w:p w14:paraId="638E6CB9" w14:textId="4EBAF54C" w:rsidR="001A1C05" w:rsidRPr="00467A5E" w:rsidRDefault="001A1C05" w:rsidP="00467A5E">
      <w:pPr>
        <w:pStyle w:val="a3"/>
        <w:numPr>
          <w:ilvl w:val="0"/>
          <w:numId w:val="2"/>
        </w:numPr>
        <w:spacing w:after="120" w:line="276" w:lineRule="auto"/>
        <w:ind w:left="0" w:right="43" w:firstLine="0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hAnsi="Cambria" w:cstheme="minorHAnsi"/>
          <w:sz w:val="24"/>
          <w:szCs w:val="24"/>
        </w:rPr>
        <w:t>Η χρηματοδότηση των πανεπιστημίων να λαμβάνει υπόψιν τον αριθμό των φοιτητών ανά Τμήμα και να προσεγγίζει τον ευρωπαϊκό μέσο όρο χρηματοδότησης ανά φοιτητή</w:t>
      </w:r>
    </w:p>
    <w:p w14:paraId="68349717" w14:textId="25148A43" w:rsidR="001A1C05" w:rsidRPr="00467A5E" w:rsidRDefault="001A1C05" w:rsidP="00467A5E">
      <w:pPr>
        <w:pStyle w:val="a3"/>
        <w:numPr>
          <w:ilvl w:val="0"/>
          <w:numId w:val="2"/>
        </w:numPr>
        <w:spacing w:after="120" w:line="276" w:lineRule="auto"/>
        <w:ind w:left="0" w:right="43" w:firstLine="0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hAnsi="Cambria" w:cstheme="minorHAnsi"/>
          <w:sz w:val="24"/>
          <w:szCs w:val="24"/>
        </w:rPr>
        <w:t>Η χρηματοδότηση - προκήρυξη νέων θέσεων διδασκόντων, εργαστηριακού,  διοικητικού και έκτακτου προσωπικού να λαμβάνει υπόψιν την αναλογία της κάθε κατηγορίας προς τον αριθμό φοιτητών (π.χ. αριθμός ΔΕΠ/φοιτητές) με στόχο να υπάρχει κοινή αναλογία μεταξύ των δημοσίων πανεπιστημίων και αυτή η αναλογία να προσεγγίζει τον ευρωπαϊκό μέσο όρο.</w:t>
      </w:r>
    </w:p>
    <w:p w14:paraId="613E8434" w14:textId="39E4ED2D" w:rsidR="00467A5E" w:rsidRPr="00467A5E" w:rsidRDefault="00A726FB" w:rsidP="00467A5E">
      <w:pPr>
        <w:pStyle w:val="a3"/>
        <w:numPr>
          <w:ilvl w:val="0"/>
          <w:numId w:val="2"/>
        </w:numPr>
        <w:spacing w:after="120" w:line="276" w:lineRule="auto"/>
        <w:ind w:left="0" w:right="43" w:firstLine="0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Να επανέλθει ο θεσμός του ακαδημαϊκού υποτρόφου στα Ιδρύματα.</w:t>
      </w:r>
    </w:p>
    <w:p w14:paraId="26C3C5D3" w14:textId="6AEBDD12" w:rsidR="00467A5E" w:rsidRPr="00467A5E" w:rsidRDefault="00A726FB" w:rsidP="00467A5E">
      <w:pPr>
        <w:pStyle w:val="a3"/>
        <w:numPr>
          <w:ilvl w:val="0"/>
          <w:numId w:val="2"/>
        </w:numPr>
        <w:spacing w:after="120" w:line="276" w:lineRule="auto"/>
        <w:ind w:left="0" w:right="43" w:firstLine="0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lastRenderedPageBreak/>
        <w:t>Να δοθεί δυνατότητα σε υπαλλήλους αορίστου χρόνου των ΑΕΙ με διδακτορικό και αυξημένα ακαδημαϊκά προσόντα να μετακινηθούν στην κατηγορία ΕΔΙΠ.</w:t>
      </w:r>
    </w:p>
    <w:p w14:paraId="7E5B4E5E" w14:textId="6A879D66" w:rsidR="00A726FB" w:rsidRPr="00467A5E" w:rsidRDefault="00A726FB" w:rsidP="00467A5E">
      <w:pPr>
        <w:pStyle w:val="a3"/>
        <w:numPr>
          <w:ilvl w:val="0"/>
          <w:numId w:val="2"/>
        </w:numPr>
        <w:spacing w:after="120" w:line="276" w:lineRule="auto"/>
        <w:ind w:left="0" w:right="43" w:firstLine="0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Να  ενισχυθεί η σύνδεση και αλληλεπίδραση  των ΑΕΙ με την κοινωνία  - Αύξηση της χρηματοδότησης για πιστοποίηση των εργαστηρίων, ώστε με τη σειρά τους να μπορούν να πιστοποιούν υπηρεσίες και προϊόντα επιχειρήσεων</w:t>
      </w:r>
    </w:p>
    <w:p w14:paraId="2E0401AD" w14:textId="305A0E9D" w:rsidR="001A1C05" w:rsidRPr="00467A5E" w:rsidRDefault="001A1C05" w:rsidP="00467A5E">
      <w:pPr>
        <w:pStyle w:val="a3"/>
        <w:numPr>
          <w:ilvl w:val="0"/>
          <w:numId w:val="2"/>
        </w:numPr>
        <w:spacing w:after="120" w:line="276" w:lineRule="auto"/>
        <w:ind w:left="0" w:right="43" w:firstLine="0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hAnsi="Cambria" w:cstheme="minorHAnsi"/>
          <w:sz w:val="24"/>
          <w:szCs w:val="24"/>
        </w:rPr>
        <w:t>Ο Εθνικός Οργανισμός Πιστοποίησης Προσόντων να αναλαμβάνει την απόδοση επαγγελματικών δικαιωμάτων σε όλα τα Τμήματα Πανεπιστημίων, δεδομένου ότι δεν αντιστοιχεί σε κάθε Τμήμα συγκεκριμένος επαγγελματικός φορέας ή ένας μόνο επαγγελματικός φορέας.</w:t>
      </w:r>
    </w:p>
    <w:p w14:paraId="0BAE8934" w14:textId="756C76E0" w:rsidR="001A1C05" w:rsidRPr="00467A5E" w:rsidRDefault="001A1C05" w:rsidP="00467A5E">
      <w:pPr>
        <w:pStyle w:val="a3"/>
        <w:numPr>
          <w:ilvl w:val="0"/>
          <w:numId w:val="2"/>
        </w:numPr>
        <w:spacing w:after="120" w:line="276" w:lineRule="auto"/>
        <w:ind w:left="0" w:right="43" w:firstLine="0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hAnsi="Cambria" w:cstheme="minorHAnsi"/>
          <w:sz w:val="24"/>
          <w:szCs w:val="24"/>
        </w:rPr>
        <w:t>Η ΕΘΑΑΕ να λειτουργεί με συγκεκριμένα αυστηρά χρονοδιαγράμματα πιστοποίησης προγραμμάτων σπουδών.</w:t>
      </w:r>
    </w:p>
    <w:p w14:paraId="530EB190" w14:textId="7BCC7870" w:rsidR="001A1C05" w:rsidRPr="00467A5E" w:rsidRDefault="001A1C05" w:rsidP="00467A5E">
      <w:pPr>
        <w:pStyle w:val="a3"/>
        <w:numPr>
          <w:ilvl w:val="0"/>
          <w:numId w:val="2"/>
        </w:numPr>
        <w:spacing w:after="120" w:line="276" w:lineRule="auto"/>
        <w:ind w:left="0" w:right="43" w:firstLine="0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Λείπει η διάταξη για ίδρυση νέων Τμημάτων από τα ίδια τα Ιδρύματα στο πλαίσιο του αυτοδιοίκητου.</w:t>
      </w:r>
    </w:p>
    <w:p w14:paraId="54A163E1" w14:textId="21C79794" w:rsidR="00467A5E" w:rsidRPr="00467A5E" w:rsidRDefault="001A1C05" w:rsidP="00467A5E">
      <w:pPr>
        <w:pStyle w:val="a3"/>
        <w:numPr>
          <w:ilvl w:val="0"/>
          <w:numId w:val="2"/>
        </w:numPr>
        <w:spacing w:after="0" w:line="276" w:lineRule="auto"/>
        <w:ind w:left="0" w:right="43" w:firstLine="0"/>
        <w:jc w:val="both"/>
        <w:rPr>
          <w:rFonts w:ascii="Cambria" w:eastAsia="Times New Roman" w:hAnsi="Cambria" w:cstheme="minorHAnsi"/>
          <w:bCs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bCs/>
          <w:sz w:val="24"/>
          <w:szCs w:val="24"/>
          <w:lang w:eastAsia="el-GR"/>
        </w:rPr>
        <w:t>Η Εκλογή του Πρύτανη να γίνεται από όλα τα μέλη της ακαδημαϊκής κοινότητας</w:t>
      </w:r>
    </w:p>
    <w:p w14:paraId="56E7B740" w14:textId="47580CB3" w:rsidR="001A1C05" w:rsidRPr="00467A5E" w:rsidRDefault="001A1C05" w:rsidP="00467A5E">
      <w:pPr>
        <w:pStyle w:val="a3"/>
        <w:numPr>
          <w:ilvl w:val="0"/>
          <w:numId w:val="2"/>
        </w:numPr>
        <w:spacing w:after="0" w:line="276" w:lineRule="auto"/>
        <w:ind w:left="0" w:right="43" w:firstLine="0"/>
        <w:jc w:val="both"/>
        <w:rPr>
          <w:rFonts w:ascii="Cambria" w:eastAsia="Times New Roman" w:hAnsi="Cambria" w:cstheme="minorHAnsi"/>
          <w:bCs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Η Εκλογή Κοσμήτορα να γίνεται με καθολική ψηφοφορία από τα μέλη της οικείας Σχολής</w:t>
      </w:r>
    </w:p>
    <w:p w14:paraId="6510A56E" w14:textId="77777777" w:rsidR="00467A5E" w:rsidRDefault="00A726FB" w:rsidP="00467A5E">
      <w:pPr>
        <w:pStyle w:val="a3"/>
        <w:numPr>
          <w:ilvl w:val="0"/>
          <w:numId w:val="2"/>
        </w:numPr>
        <w:spacing w:after="120" w:line="276" w:lineRule="auto"/>
        <w:ind w:left="0" w:right="43" w:firstLine="0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Να αναπροσαρμοστούν κάποιες αρμοδιότητες που αφορούν στον Πρύτανη και τον Κοσμήτορα ώστε να διευκολυνθούν ακαδημαϊκές λειτουργίες του Ιδρύματος</w:t>
      </w:r>
    </w:p>
    <w:p w14:paraId="126DE7AC" w14:textId="79F5C843" w:rsidR="001A1C05" w:rsidRPr="00467A5E" w:rsidRDefault="001A1C05" w:rsidP="00467A5E">
      <w:pPr>
        <w:pStyle w:val="a3"/>
        <w:numPr>
          <w:ilvl w:val="0"/>
          <w:numId w:val="2"/>
        </w:numPr>
        <w:spacing w:after="120" w:line="276" w:lineRule="auto"/>
        <w:ind w:left="0" w:right="43" w:firstLine="0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Με την αλλαγή Διοίκησης των ΑΕΙ να λήγει αυτοδίκαια η θητεία όλων των Επιτροπών</w:t>
      </w:r>
    </w:p>
    <w:p w14:paraId="403493B7" w14:textId="77777777" w:rsidR="001A1C05" w:rsidRPr="00467A5E" w:rsidRDefault="001A1C05" w:rsidP="00467A5E">
      <w:pPr>
        <w:spacing w:after="0" w:line="240" w:lineRule="auto"/>
        <w:ind w:right="101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</w:p>
    <w:p w14:paraId="6B22CE13" w14:textId="77777777" w:rsidR="001A1C05" w:rsidRPr="00467A5E" w:rsidRDefault="001A1C05" w:rsidP="00467A5E">
      <w:pPr>
        <w:spacing w:after="0" w:line="240" w:lineRule="auto"/>
        <w:ind w:right="101"/>
        <w:jc w:val="both"/>
        <w:rPr>
          <w:rFonts w:ascii="Cambria" w:eastAsia="Times New Roman" w:hAnsi="Cambria" w:cstheme="minorHAnsi"/>
          <w:sz w:val="24"/>
          <w:szCs w:val="24"/>
          <w:lang w:eastAsia="el-GR"/>
        </w:rPr>
      </w:pPr>
    </w:p>
    <w:p w14:paraId="71CF2CAF" w14:textId="77777777" w:rsidR="00DA0140" w:rsidRPr="00467A5E" w:rsidRDefault="007A7AED" w:rsidP="00467A5E">
      <w:pPr>
        <w:spacing w:before="11" w:after="0" w:line="240" w:lineRule="auto"/>
        <w:ind w:right="101"/>
        <w:jc w:val="both"/>
        <w:rPr>
          <w:rFonts w:ascii="Cambria" w:eastAsia="Times New Roman" w:hAnsi="Cambria" w:cstheme="minorHAnsi"/>
          <w:strike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Η Σύγκλητος αποδέχεται τις</w:t>
      </w:r>
      <w:r w:rsidR="00DA0140" w:rsidRPr="00467A5E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επιμέρους παρατηρήσεις </w:t>
      </w: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επί συγκεκριμένων άρθρων του Γ΄ Μ</w:t>
      </w:r>
      <w:r w:rsidR="00DA0140" w:rsidRPr="00467A5E">
        <w:rPr>
          <w:rFonts w:ascii="Cambria" w:eastAsia="Times New Roman" w:hAnsi="Cambria" w:cstheme="minorHAnsi"/>
          <w:sz w:val="24"/>
          <w:szCs w:val="24"/>
          <w:lang w:eastAsia="el-GR"/>
        </w:rPr>
        <w:t>έρους του νομοσχεδίου όπως αυτές περιλαμβάνονται στις αποφάσεις των Συνελ</w:t>
      </w:r>
      <w:r w:rsidR="00EA0F3E" w:rsidRPr="00467A5E">
        <w:rPr>
          <w:rFonts w:ascii="Cambria" w:eastAsia="Times New Roman" w:hAnsi="Cambria" w:cstheme="minorHAnsi"/>
          <w:sz w:val="24"/>
          <w:szCs w:val="24"/>
          <w:lang w:eastAsia="el-GR"/>
        </w:rPr>
        <w:t>εύσεων των Ακαδημαϊκών Τμημάτων.</w:t>
      </w:r>
    </w:p>
    <w:p w14:paraId="33F228D1" w14:textId="77777777" w:rsidR="00DA0140" w:rsidRPr="00467A5E" w:rsidRDefault="00DA0140" w:rsidP="00467A5E">
      <w:pPr>
        <w:spacing w:before="1" w:after="0" w:line="240" w:lineRule="auto"/>
        <w:ind w:right="101"/>
        <w:rPr>
          <w:rFonts w:ascii="Cambria" w:eastAsia="Times New Roman" w:hAnsi="Cambria" w:cstheme="minorHAnsi"/>
          <w:strike/>
          <w:sz w:val="24"/>
          <w:szCs w:val="24"/>
          <w:lang w:eastAsia="el-GR"/>
        </w:rPr>
      </w:pPr>
    </w:p>
    <w:p w14:paraId="6C149B7C" w14:textId="77777777" w:rsidR="00DA0140" w:rsidRPr="00467A5E" w:rsidRDefault="00DA0140" w:rsidP="00467A5E">
      <w:pPr>
        <w:spacing w:before="1" w:after="0" w:line="240" w:lineRule="auto"/>
        <w:ind w:right="101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467A5E">
        <w:rPr>
          <w:rFonts w:ascii="Cambria" w:eastAsia="Times New Roman" w:hAnsi="Cambria" w:cstheme="minorHAnsi"/>
          <w:sz w:val="24"/>
          <w:szCs w:val="24"/>
          <w:lang w:eastAsia="el-GR"/>
        </w:rPr>
        <w:t> </w:t>
      </w:r>
    </w:p>
    <w:p w14:paraId="6D9DE1C6" w14:textId="77777777" w:rsidR="004F2DF8" w:rsidRPr="00467A5E" w:rsidRDefault="004F2DF8" w:rsidP="00467A5E">
      <w:pPr>
        <w:rPr>
          <w:rFonts w:ascii="Cambria" w:hAnsi="Cambria" w:cstheme="minorHAnsi"/>
        </w:rPr>
      </w:pPr>
    </w:p>
    <w:sectPr w:rsidR="004F2DF8" w:rsidRPr="00467A5E" w:rsidSect="00DA0140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6C51"/>
    <w:multiLevelType w:val="hybridMultilevel"/>
    <w:tmpl w:val="8020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D7D25"/>
    <w:multiLevelType w:val="hybridMultilevel"/>
    <w:tmpl w:val="94B0873A"/>
    <w:lvl w:ilvl="0" w:tplc="2970240E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  <w:u w:val="none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5FD35B9"/>
    <w:multiLevelType w:val="hybridMultilevel"/>
    <w:tmpl w:val="85EC1116"/>
    <w:lvl w:ilvl="0" w:tplc="004CE65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A9"/>
    <w:rsid w:val="0000462A"/>
    <w:rsid w:val="000877A9"/>
    <w:rsid w:val="00121DB7"/>
    <w:rsid w:val="00165FB5"/>
    <w:rsid w:val="001677E3"/>
    <w:rsid w:val="001A1C05"/>
    <w:rsid w:val="001C4D4B"/>
    <w:rsid w:val="001C571F"/>
    <w:rsid w:val="001F4FE8"/>
    <w:rsid w:val="00202432"/>
    <w:rsid w:val="002141C0"/>
    <w:rsid w:val="00235BA9"/>
    <w:rsid w:val="00235C5F"/>
    <w:rsid w:val="00260AFC"/>
    <w:rsid w:val="002F3C50"/>
    <w:rsid w:val="0032026D"/>
    <w:rsid w:val="003354E6"/>
    <w:rsid w:val="003A1193"/>
    <w:rsid w:val="003D62CC"/>
    <w:rsid w:val="004146A6"/>
    <w:rsid w:val="00463FF4"/>
    <w:rsid w:val="00467A5E"/>
    <w:rsid w:val="004A723B"/>
    <w:rsid w:val="004E0FC8"/>
    <w:rsid w:val="004F2DF8"/>
    <w:rsid w:val="005536DD"/>
    <w:rsid w:val="005D0C1F"/>
    <w:rsid w:val="005D4A06"/>
    <w:rsid w:val="007445E1"/>
    <w:rsid w:val="007A7AED"/>
    <w:rsid w:val="008323A8"/>
    <w:rsid w:val="00872270"/>
    <w:rsid w:val="008866FD"/>
    <w:rsid w:val="008A120F"/>
    <w:rsid w:val="009427A9"/>
    <w:rsid w:val="00986B03"/>
    <w:rsid w:val="009D29A3"/>
    <w:rsid w:val="00A643A6"/>
    <w:rsid w:val="00A726FB"/>
    <w:rsid w:val="00AC06B8"/>
    <w:rsid w:val="00AC22EC"/>
    <w:rsid w:val="00AE4CBC"/>
    <w:rsid w:val="00BE3FD8"/>
    <w:rsid w:val="00C40D3E"/>
    <w:rsid w:val="00CD1C52"/>
    <w:rsid w:val="00D22495"/>
    <w:rsid w:val="00D32652"/>
    <w:rsid w:val="00D53AEF"/>
    <w:rsid w:val="00DA0140"/>
    <w:rsid w:val="00DA1E17"/>
    <w:rsid w:val="00DE72D4"/>
    <w:rsid w:val="00EA0F3E"/>
    <w:rsid w:val="00EB5618"/>
    <w:rsid w:val="00EC3A1D"/>
    <w:rsid w:val="00FA7648"/>
    <w:rsid w:val="00FB760F"/>
    <w:rsid w:val="00FB7F02"/>
    <w:rsid w:val="00F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49F0"/>
  <w15:docId w15:val="{CB6AD12E-7216-4FBD-A4B9-412D18DD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4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536DD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5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53AE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FB760F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FB760F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FB760F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B760F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FB76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1066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PALAVAKI ALEXANDRA</dc:creator>
  <cp:lastModifiedBy>Charalambos Billinis</cp:lastModifiedBy>
  <cp:revision>7</cp:revision>
  <cp:lastPrinted>2024-02-16T13:12:00Z</cp:lastPrinted>
  <dcterms:created xsi:type="dcterms:W3CDTF">2024-02-18T08:34:00Z</dcterms:created>
  <dcterms:modified xsi:type="dcterms:W3CDTF">2024-02-18T10:01:00Z</dcterms:modified>
</cp:coreProperties>
</file>